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1E5B" w:rsidRPr="00DF1EAA" w:rsidRDefault="00811E5B" w:rsidP="00811E5B">
      <w:pPr>
        <w:jc w:val="both"/>
        <w:rPr>
          <w:b/>
          <w:sz w:val="20"/>
          <w:szCs w:val="20"/>
          <w:u w:val="single"/>
        </w:rPr>
      </w:pPr>
      <w:proofErr w:type="spellStart"/>
      <w:r w:rsidRPr="00DF1EAA">
        <w:rPr>
          <w:b/>
          <w:sz w:val="20"/>
          <w:szCs w:val="20"/>
          <w:u w:val="single"/>
        </w:rPr>
        <w:t>MobileMT</w:t>
      </w:r>
      <w:proofErr w:type="spellEnd"/>
      <w:r w:rsidRPr="00DF1EAA">
        <w:rPr>
          <w:b/>
          <w:sz w:val="20"/>
          <w:szCs w:val="20"/>
          <w:u w:val="single"/>
        </w:rPr>
        <w:t xml:space="preserve"> Electromagnetic Technology</w:t>
      </w:r>
    </w:p>
    <w:p w:rsidR="00417315" w:rsidRDefault="00BD70DE" w:rsidP="00811E5B">
      <w:pPr>
        <w:jc w:val="both"/>
        <w:rPr>
          <w:sz w:val="20"/>
          <w:szCs w:val="20"/>
        </w:rPr>
      </w:pPr>
      <w:r w:rsidRPr="004C5455">
        <w:rPr>
          <w:sz w:val="20"/>
          <w:szCs w:val="20"/>
        </w:rPr>
        <w:t xml:space="preserve">Mobile </w:t>
      </w:r>
      <w:proofErr w:type="spellStart"/>
      <w:r w:rsidRPr="004C5455">
        <w:rPr>
          <w:sz w:val="20"/>
          <w:szCs w:val="20"/>
        </w:rPr>
        <w:t>MagnetoTellurics</w:t>
      </w:r>
      <w:proofErr w:type="spellEnd"/>
      <w:r w:rsidRPr="004C5455">
        <w:rPr>
          <w:sz w:val="20"/>
          <w:szCs w:val="20"/>
        </w:rPr>
        <w:t xml:space="preserve"> (</w:t>
      </w:r>
      <w:proofErr w:type="spellStart"/>
      <w:r w:rsidRPr="004C5455">
        <w:rPr>
          <w:sz w:val="20"/>
          <w:szCs w:val="20"/>
        </w:rPr>
        <w:t>MobileMT</w:t>
      </w:r>
      <w:proofErr w:type="spellEnd"/>
      <w:r w:rsidRPr="004C5455">
        <w:rPr>
          <w:sz w:val="20"/>
          <w:szCs w:val="20"/>
        </w:rPr>
        <w:t xml:space="preserve">) is the latest innovation in airborne electromagnetics and the most advanced generation of airborne AFMAG technologies. </w:t>
      </w:r>
      <w:r>
        <w:rPr>
          <w:sz w:val="20"/>
          <w:szCs w:val="20"/>
        </w:rPr>
        <w:t xml:space="preserve"> This</w:t>
      </w:r>
      <w:r w:rsidR="00811E5B" w:rsidRPr="00811E5B">
        <w:rPr>
          <w:sz w:val="20"/>
          <w:szCs w:val="20"/>
        </w:rPr>
        <w:t xml:space="preserve"> newly developed approach to </w:t>
      </w:r>
      <w:r>
        <w:rPr>
          <w:sz w:val="20"/>
          <w:szCs w:val="20"/>
        </w:rPr>
        <w:t xml:space="preserve">airborne </w:t>
      </w:r>
      <w:r w:rsidR="00811E5B" w:rsidRPr="00811E5B">
        <w:rPr>
          <w:sz w:val="20"/>
          <w:szCs w:val="20"/>
        </w:rPr>
        <w:t xml:space="preserve">electromagnetic data </w:t>
      </w:r>
      <w:r w:rsidRPr="00BD70DE">
        <w:rPr>
          <w:sz w:val="20"/>
          <w:szCs w:val="20"/>
        </w:rPr>
        <w:t>measures three orthogonal magnetic field components in the air and two electric filed components in the ground base stations (impedance-type data)</w:t>
      </w:r>
      <w:r w:rsidR="00811E5B" w:rsidRPr="00811E5B">
        <w:rPr>
          <w:sz w:val="20"/>
          <w:szCs w:val="20"/>
        </w:rPr>
        <w:t xml:space="preserve">. </w:t>
      </w:r>
      <w:r>
        <w:rPr>
          <w:sz w:val="20"/>
          <w:szCs w:val="20"/>
        </w:rPr>
        <w:t xml:space="preserve"> </w:t>
      </w:r>
      <w:r w:rsidR="00811E5B" w:rsidRPr="00811E5B">
        <w:rPr>
          <w:sz w:val="20"/>
          <w:szCs w:val="20"/>
        </w:rPr>
        <w:t>The system is designed and implemented in order to overcome existing limitations of airborne techniques based on passive electromagnetic fields principles and, ultimately, for improving exploration efficiency.</w:t>
      </w:r>
    </w:p>
    <w:p w:rsidR="00BD70DE" w:rsidRDefault="00811E5B" w:rsidP="00811E5B">
      <w:pPr>
        <w:jc w:val="both"/>
        <w:rPr>
          <w:sz w:val="20"/>
          <w:szCs w:val="20"/>
        </w:rPr>
      </w:pPr>
      <w:proofErr w:type="spellStart"/>
      <w:r w:rsidRPr="00811E5B">
        <w:rPr>
          <w:sz w:val="20"/>
          <w:szCs w:val="20"/>
        </w:rPr>
        <w:t>MobileMT</w:t>
      </w:r>
      <w:proofErr w:type="spellEnd"/>
      <w:r>
        <w:rPr>
          <w:sz w:val="20"/>
          <w:szCs w:val="20"/>
        </w:rPr>
        <w:t xml:space="preserve"> </w:t>
      </w:r>
      <w:r w:rsidRPr="00811E5B">
        <w:rPr>
          <w:sz w:val="20"/>
          <w:szCs w:val="20"/>
        </w:rPr>
        <w:t xml:space="preserve">is a passive airborne electromagnetic technique that records magnetic (in the air) and electric (on the ground) fields generated by natural sources in the audio frequency range. </w:t>
      </w:r>
      <w:r w:rsidR="00BD70DE">
        <w:rPr>
          <w:sz w:val="20"/>
          <w:szCs w:val="20"/>
        </w:rPr>
        <w:t xml:space="preserve"> </w:t>
      </w:r>
      <w:r w:rsidRPr="00811E5B">
        <w:rPr>
          <w:sz w:val="20"/>
          <w:szCs w:val="20"/>
        </w:rPr>
        <w:t xml:space="preserve">The natural electromagnetic primary field </w:t>
      </w:r>
      <w:r w:rsidRPr="00BD70DE">
        <w:rPr>
          <w:sz w:val="20"/>
          <w:szCs w:val="20"/>
        </w:rPr>
        <w:t xml:space="preserve">sources for </w:t>
      </w:r>
      <w:proofErr w:type="spellStart"/>
      <w:r w:rsidRPr="00BD70DE">
        <w:rPr>
          <w:sz w:val="20"/>
          <w:szCs w:val="20"/>
        </w:rPr>
        <w:t>MobileMT</w:t>
      </w:r>
      <w:proofErr w:type="spellEnd"/>
      <w:r w:rsidRPr="00BD70DE">
        <w:rPr>
          <w:sz w:val="20"/>
          <w:szCs w:val="20"/>
        </w:rPr>
        <w:t xml:space="preserve"> are considered with frequencies ranging from 25 Hz to 30 kHz (ELF+VLF)</w:t>
      </w:r>
      <w:r w:rsidR="00BD70DE" w:rsidRPr="00BD70DE">
        <w:rPr>
          <w:sz w:val="20"/>
          <w:szCs w:val="20"/>
        </w:rPr>
        <w:t xml:space="preserve"> which provides </w:t>
      </w:r>
      <w:r w:rsidR="00BD70DE">
        <w:rPr>
          <w:sz w:val="20"/>
          <w:szCs w:val="20"/>
        </w:rPr>
        <w:t>considerable</w:t>
      </w:r>
      <w:r w:rsidR="00BD70DE" w:rsidRPr="00BD70DE">
        <w:rPr>
          <w:sz w:val="20"/>
          <w:szCs w:val="20"/>
        </w:rPr>
        <w:t xml:space="preserve"> depth of investigation from the surface to &gt;1 km</w:t>
      </w:r>
      <w:r w:rsidRPr="00BD70DE">
        <w:rPr>
          <w:sz w:val="20"/>
          <w:szCs w:val="20"/>
        </w:rPr>
        <w:t>.</w:t>
      </w:r>
      <w:r w:rsidRPr="00811E5B">
        <w:rPr>
          <w:sz w:val="20"/>
          <w:szCs w:val="20"/>
        </w:rPr>
        <w:t xml:space="preserve"> </w:t>
      </w:r>
      <w:r w:rsidR="00BD70DE">
        <w:rPr>
          <w:sz w:val="20"/>
          <w:szCs w:val="20"/>
        </w:rPr>
        <w:t xml:space="preserve"> </w:t>
      </w:r>
      <w:r w:rsidRPr="00811E5B">
        <w:rPr>
          <w:sz w:val="20"/>
          <w:szCs w:val="20"/>
        </w:rPr>
        <w:t>The exploration system includes two pairs of grounded electric wire lines, one of them is for reference signal, and moving three-component inductive coil system softly suspended and with low-noise signal amplifiers for magnetic field measurements (dB/</w:t>
      </w:r>
      <w:proofErr w:type="spellStart"/>
      <w:r w:rsidRPr="00811E5B">
        <w:rPr>
          <w:sz w:val="20"/>
          <w:szCs w:val="20"/>
        </w:rPr>
        <w:t>dt</w:t>
      </w:r>
      <w:proofErr w:type="spellEnd"/>
      <w:r w:rsidRPr="00811E5B">
        <w:rPr>
          <w:sz w:val="20"/>
          <w:szCs w:val="20"/>
        </w:rPr>
        <w:t xml:space="preserve">) in three orthogonal directions. </w:t>
      </w:r>
      <w:r w:rsidR="00BD70DE">
        <w:rPr>
          <w:sz w:val="20"/>
          <w:szCs w:val="20"/>
        </w:rPr>
        <w:t xml:space="preserve"> </w:t>
      </w:r>
      <w:r w:rsidRPr="00811E5B">
        <w:rPr>
          <w:sz w:val="20"/>
          <w:szCs w:val="20"/>
        </w:rPr>
        <w:t xml:space="preserve">A crucial element of the technology is the capability of aerial acquisition </w:t>
      </w:r>
      <w:proofErr w:type="spellStart"/>
      <w:r w:rsidRPr="00811E5B">
        <w:rPr>
          <w:sz w:val="20"/>
          <w:szCs w:val="20"/>
        </w:rPr>
        <w:t>magnetotelluric</w:t>
      </w:r>
      <w:proofErr w:type="spellEnd"/>
      <w:r w:rsidRPr="00811E5B">
        <w:rPr>
          <w:sz w:val="20"/>
          <w:szCs w:val="20"/>
        </w:rPr>
        <w:t xml:space="preserve"> data in four decades frequency band</w:t>
      </w:r>
      <w:r w:rsidRPr="00BD70DE">
        <w:rPr>
          <w:sz w:val="20"/>
          <w:szCs w:val="20"/>
        </w:rPr>
        <w:t xml:space="preserve">. </w:t>
      </w:r>
      <w:r w:rsidR="00BD70DE" w:rsidRPr="00BD70DE">
        <w:rPr>
          <w:sz w:val="20"/>
          <w:szCs w:val="20"/>
        </w:rPr>
        <w:t xml:space="preserve"> The auxiliary equipment includes Geometrics </w:t>
      </w:r>
      <w:proofErr w:type="spellStart"/>
      <w:r w:rsidR="00BD70DE" w:rsidRPr="00BD70DE">
        <w:rPr>
          <w:sz w:val="20"/>
          <w:szCs w:val="20"/>
        </w:rPr>
        <w:t>cesium</w:t>
      </w:r>
      <w:proofErr w:type="spellEnd"/>
      <w:r w:rsidR="00BD70DE" w:rsidRPr="00BD70DE">
        <w:rPr>
          <w:sz w:val="20"/>
          <w:szCs w:val="20"/>
        </w:rPr>
        <w:t xml:space="preserve"> magnetometer G-822A, GPS navigation system, radar altimeter, data acquisition system.</w:t>
      </w:r>
    </w:p>
    <w:p w:rsidR="00BD70DE" w:rsidRPr="00DF1EAA" w:rsidRDefault="0081143D" w:rsidP="00811E5B">
      <w:pPr>
        <w:jc w:val="both"/>
        <w:rPr>
          <w:b/>
          <w:sz w:val="20"/>
          <w:szCs w:val="20"/>
          <w:u w:val="single"/>
        </w:rPr>
      </w:pPr>
      <w:r w:rsidRPr="00DF1EAA">
        <w:rPr>
          <w:b/>
          <w:sz w:val="20"/>
          <w:szCs w:val="20"/>
          <w:u w:val="single"/>
        </w:rPr>
        <w:t xml:space="preserve">Mt Read Project </w:t>
      </w:r>
      <w:proofErr w:type="spellStart"/>
      <w:r w:rsidRPr="00DF1EAA">
        <w:rPr>
          <w:b/>
          <w:sz w:val="20"/>
          <w:szCs w:val="20"/>
          <w:u w:val="single"/>
        </w:rPr>
        <w:t>MobileMT</w:t>
      </w:r>
      <w:proofErr w:type="spellEnd"/>
    </w:p>
    <w:p w:rsidR="0081143D" w:rsidRDefault="0081143D" w:rsidP="00811E5B">
      <w:pPr>
        <w:jc w:val="both"/>
        <w:rPr>
          <w:sz w:val="20"/>
          <w:szCs w:val="20"/>
        </w:rPr>
      </w:pPr>
      <w:r>
        <w:rPr>
          <w:sz w:val="20"/>
          <w:szCs w:val="20"/>
        </w:rPr>
        <w:t>During mid-January</w:t>
      </w:r>
      <w:r w:rsidR="004C5455" w:rsidRPr="004C5455">
        <w:rPr>
          <w:sz w:val="20"/>
          <w:szCs w:val="20"/>
        </w:rPr>
        <w:t xml:space="preserve"> 2019 Expert Geophysics Limited (EGL) fl</w:t>
      </w:r>
      <w:r w:rsidR="004C5455">
        <w:rPr>
          <w:sz w:val="20"/>
          <w:szCs w:val="20"/>
        </w:rPr>
        <w:t>ew</w:t>
      </w:r>
      <w:r w:rsidR="004C5455" w:rsidRPr="004C5455">
        <w:rPr>
          <w:sz w:val="20"/>
          <w:szCs w:val="20"/>
        </w:rPr>
        <w:t xml:space="preserve"> </w:t>
      </w:r>
      <w:r w:rsidR="004C5455">
        <w:rPr>
          <w:sz w:val="20"/>
          <w:szCs w:val="20"/>
        </w:rPr>
        <w:t xml:space="preserve">a </w:t>
      </w:r>
      <w:proofErr w:type="spellStart"/>
      <w:r w:rsidR="004C5455" w:rsidRPr="004C5455">
        <w:rPr>
          <w:sz w:val="20"/>
          <w:szCs w:val="20"/>
        </w:rPr>
        <w:t>MobileMT</w:t>
      </w:r>
      <w:proofErr w:type="spellEnd"/>
      <w:r w:rsidR="004C5455" w:rsidRPr="004C5455">
        <w:rPr>
          <w:sz w:val="20"/>
          <w:szCs w:val="20"/>
        </w:rPr>
        <w:t xml:space="preserve"> survey for Acc</w:t>
      </w:r>
      <w:r w:rsidR="00BD70DE">
        <w:rPr>
          <w:sz w:val="20"/>
          <w:szCs w:val="20"/>
        </w:rPr>
        <w:t>elerate Resources Limited over specific prospect</w:t>
      </w:r>
      <w:r w:rsidR="004C5455" w:rsidRPr="004C5455">
        <w:rPr>
          <w:sz w:val="20"/>
          <w:szCs w:val="20"/>
        </w:rPr>
        <w:t xml:space="preserve"> areas </w:t>
      </w:r>
      <w:r>
        <w:rPr>
          <w:sz w:val="20"/>
          <w:szCs w:val="20"/>
        </w:rPr>
        <w:t xml:space="preserve">(Thomas Creek, Mt </w:t>
      </w:r>
      <w:proofErr w:type="spellStart"/>
      <w:r>
        <w:rPr>
          <w:sz w:val="20"/>
          <w:szCs w:val="20"/>
        </w:rPr>
        <w:t>Lowren</w:t>
      </w:r>
      <w:proofErr w:type="spellEnd"/>
      <w:r>
        <w:rPr>
          <w:sz w:val="20"/>
          <w:szCs w:val="20"/>
        </w:rPr>
        <w:t xml:space="preserve"> and </w:t>
      </w:r>
      <w:proofErr w:type="spellStart"/>
      <w:r>
        <w:rPr>
          <w:sz w:val="20"/>
          <w:szCs w:val="20"/>
        </w:rPr>
        <w:t>Timbertops</w:t>
      </w:r>
      <w:proofErr w:type="spellEnd"/>
      <w:r>
        <w:rPr>
          <w:sz w:val="20"/>
          <w:szCs w:val="20"/>
        </w:rPr>
        <w:t>) within</w:t>
      </w:r>
      <w:r w:rsidR="004C5455" w:rsidRPr="004C5455">
        <w:rPr>
          <w:sz w:val="20"/>
          <w:szCs w:val="20"/>
        </w:rPr>
        <w:t xml:space="preserve"> the Mt Read Project located on the Sorrell Peninsular in western Tasmania.</w:t>
      </w:r>
      <w:r>
        <w:rPr>
          <w:sz w:val="20"/>
          <w:szCs w:val="20"/>
        </w:rPr>
        <w:t xml:space="preserve">  A total of 430kms of </w:t>
      </w:r>
      <w:proofErr w:type="spellStart"/>
      <w:r>
        <w:rPr>
          <w:sz w:val="20"/>
          <w:szCs w:val="20"/>
        </w:rPr>
        <w:t>MobileMT</w:t>
      </w:r>
      <w:proofErr w:type="spellEnd"/>
      <w:r>
        <w:rPr>
          <w:sz w:val="20"/>
          <w:szCs w:val="20"/>
        </w:rPr>
        <w:t xml:space="preserve"> survey data were acquired over an area of approximately 104sqkms.  All surveying was flown at between 200-400m line spacing along north-south lines with some limited cross/tie lines coverage over the central main Thomas Creek prospect area to provide additional detail.</w:t>
      </w:r>
    </w:p>
    <w:p w:rsidR="004C5455" w:rsidRDefault="0081143D" w:rsidP="00811E5B">
      <w:pPr>
        <w:jc w:val="both"/>
        <w:rPr>
          <w:sz w:val="20"/>
          <w:szCs w:val="20"/>
        </w:rPr>
      </w:pPr>
      <w:r w:rsidRPr="0081143D">
        <w:rPr>
          <w:sz w:val="20"/>
          <w:szCs w:val="20"/>
        </w:rPr>
        <w:t xml:space="preserve">The </w:t>
      </w:r>
      <w:r w:rsidR="00600321">
        <w:rPr>
          <w:sz w:val="20"/>
          <w:szCs w:val="20"/>
        </w:rPr>
        <w:t>purpose</w:t>
      </w:r>
      <w:r w:rsidRPr="0081143D">
        <w:rPr>
          <w:sz w:val="20"/>
          <w:szCs w:val="20"/>
        </w:rPr>
        <w:t xml:space="preserve"> of the survey was mapping bedrock structure and lithology, including possible alteration and </w:t>
      </w:r>
      <w:r>
        <w:rPr>
          <w:sz w:val="20"/>
          <w:szCs w:val="20"/>
        </w:rPr>
        <w:t xml:space="preserve">sulphide </w:t>
      </w:r>
      <w:r w:rsidRPr="0081143D">
        <w:rPr>
          <w:sz w:val="20"/>
          <w:szCs w:val="20"/>
        </w:rPr>
        <w:t>mineralization zones, using apparent conductivity corresponded to different depth levels and the magnetic properties of the bedrock units.</w:t>
      </w:r>
      <w:r w:rsidR="00DF1EAA">
        <w:rPr>
          <w:sz w:val="20"/>
          <w:szCs w:val="20"/>
        </w:rPr>
        <w:t xml:space="preserve">  All resultant final </w:t>
      </w:r>
      <w:proofErr w:type="spellStart"/>
      <w:r w:rsidR="00DF1EAA">
        <w:rPr>
          <w:sz w:val="20"/>
          <w:szCs w:val="20"/>
        </w:rPr>
        <w:t>MobileMT</w:t>
      </w:r>
      <w:proofErr w:type="spellEnd"/>
      <w:r w:rsidR="00DF1EAA">
        <w:rPr>
          <w:sz w:val="20"/>
          <w:szCs w:val="20"/>
        </w:rPr>
        <w:t xml:space="preserve"> data provided by EGL was</w:t>
      </w:r>
      <w:r w:rsidR="00F4488E">
        <w:rPr>
          <w:sz w:val="20"/>
          <w:szCs w:val="20"/>
        </w:rPr>
        <w:t xml:space="preserve"> inverted via</w:t>
      </w:r>
      <w:r w:rsidR="00DF1EAA">
        <w:rPr>
          <w:sz w:val="20"/>
          <w:szCs w:val="20"/>
        </w:rPr>
        <w:t xml:space="preserve"> </w:t>
      </w:r>
      <w:r w:rsidR="00F4488E">
        <w:rPr>
          <w:sz w:val="20"/>
          <w:szCs w:val="20"/>
        </w:rPr>
        <w:t>Computational Geoscience Inc.</w:t>
      </w:r>
      <w:r>
        <w:rPr>
          <w:sz w:val="20"/>
          <w:szCs w:val="20"/>
        </w:rPr>
        <w:t xml:space="preserve"> </w:t>
      </w:r>
      <w:r w:rsidR="00F4488E">
        <w:rPr>
          <w:sz w:val="20"/>
          <w:szCs w:val="20"/>
        </w:rPr>
        <w:t>to generate 3D conductivity results mapping both high and low discrete conductive zones.</w:t>
      </w:r>
      <w:r w:rsidR="004C5455" w:rsidRPr="004C5455">
        <w:rPr>
          <w:sz w:val="20"/>
          <w:szCs w:val="20"/>
        </w:rPr>
        <w:t xml:space="preserve"> </w:t>
      </w:r>
    </w:p>
    <w:p w:rsidR="00DF1EAA" w:rsidRDefault="00DF1EAA" w:rsidP="00811E5B">
      <w:pPr>
        <w:jc w:val="both"/>
        <w:rPr>
          <w:sz w:val="20"/>
          <w:szCs w:val="20"/>
        </w:rPr>
      </w:pPr>
      <w:r>
        <w:rPr>
          <w:sz w:val="20"/>
          <w:szCs w:val="20"/>
        </w:rPr>
        <w:t xml:space="preserve">Preliminary evaluation of the </w:t>
      </w:r>
      <w:r w:rsidR="00F4488E">
        <w:rPr>
          <w:sz w:val="20"/>
          <w:szCs w:val="20"/>
        </w:rPr>
        <w:t>resultant 3D inversion results has defined a number of extensional target zones for exploration follow-up at each of the three main prospect areas plus also more regional type targets</w:t>
      </w:r>
      <w:r w:rsidR="00C26A15">
        <w:rPr>
          <w:sz w:val="20"/>
          <w:szCs w:val="20"/>
        </w:rPr>
        <w:t xml:space="preserve"> (see </w:t>
      </w:r>
      <w:r w:rsidR="00C26A15" w:rsidRPr="00C26A15">
        <w:rPr>
          <w:b/>
          <w:color w:val="0000FF"/>
          <w:sz w:val="20"/>
          <w:szCs w:val="20"/>
        </w:rPr>
        <w:t>Figure 1</w:t>
      </w:r>
      <w:r w:rsidR="00C26A15">
        <w:rPr>
          <w:sz w:val="20"/>
          <w:szCs w:val="20"/>
        </w:rPr>
        <w:t xml:space="preserve"> below)</w:t>
      </w:r>
      <w:r w:rsidR="00F4488E">
        <w:rPr>
          <w:sz w:val="20"/>
          <w:szCs w:val="20"/>
        </w:rPr>
        <w:t>.</w:t>
      </w:r>
      <w:r w:rsidR="00C26A15">
        <w:rPr>
          <w:sz w:val="20"/>
          <w:szCs w:val="20"/>
        </w:rPr>
        <w:t xml:space="preserve">  Primary target conductive zones are marked by bold yellow outlines with initial notable ones being present on the N</w:t>
      </w:r>
      <w:r w:rsidR="003E7029">
        <w:rPr>
          <w:sz w:val="20"/>
          <w:szCs w:val="20"/>
        </w:rPr>
        <w:t>E</w:t>
      </w:r>
      <w:bookmarkStart w:id="0" w:name="_GoBack"/>
      <w:bookmarkEnd w:id="0"/>
      <w:r w:rsidR="00C26A15">
        <w:rPr>
          <w:sz w:val="20"/>
          <w:szCs w:val="20"/>
        </w:rPr>
        <w:t xml:space="preserve"> side of the Thomas Creek prospect, the north side of the Timbertop magnetic target and at Mt </w:t>
      </w:r>
      <w:proofErr w:type="spellStart"/>
      <w:r w:rsidR="00C26A15">
        <w:rPr>
          <w:sz w:val="20"/>
          <w:szCs w:val="20"/>
        </w:rPr>
        <w:t>Lowren</w:t>
      </w:r>
      <w:proofErr w:type="spellEnd"/>
      <w:r w:rsidR="00C26A15">
        <w:rPr>
          <w:sz w:val="20"/>
          <w:szCs w:val="20"/>
        </w:rPr>
        <w:t xml:space="preserve"> central relating to the local magnetic body/ultramafic unit - these may relate directly to sulphide mineralisation.  Many other regional targets are present plus also clearly conductive near surface zones relating to either topographic lows/drainage patterns or the coastal margin in the far SW of the survey coverage.  Ground follow-up/site checks are required for all primary targets and then potentially the more regional type targets distilled from full/final interpretation.  Several high resistivity (very low conductivity) bodies were also identified which may highlight the presence of alteration, notably the one present central to the Thomas Creek circular magnetic complex.  </w:t>
      </w:r>
      <w:r w:rsidR="00C26A15" w:rsidRPr="00C26A15">
        <w:rPr>
          <w:b/>
          <w:color w:val="0000FF"/>
          <w:sz w:val="20"/>
          <w:szCs w:val="20"/>
        </w:rPr>
        <w:t>Figure 2</w:t>
      </w:r>
      <w:r w:rsidR="00C26A15">
        <w:rPr>
          <w:sz w:val="20"/>
          <w:szCs w:val="20"/>
        </w:rPr>
        <w:t xml:space="preserve">, </w:t>
      </w:r>
      <w:r w:rsidR="00C26A15" w:rsidRPr="00C26A15">
        <w:rPr>
          <w:b/>
          <w:color w:val="0000FF"/>
          <w:sz w:val="20"/>
          <w:szCs w:val="20"/>
        </w:rPr>
        <w:t>3</w:t>
      </w:r>
      <w:r w:rsidR="00C26A15">
        <w:rPr>
          <w:sz w:val="20"/>
          <w:szCs w:val="20"/>
        </w:rPr>
        <w:t xml:space="preserve"> and </w:t>
      </w:r>
      <w:r w:rsidR="00C26A15" w:rsidRPr="00C26A15">
        <w:rPr>
          <w:b/>
          <w:color w:val="0000FF"/>
          <w:sz w:val="20"/>
          <w:szCs w:val="20"/>
        </w:rPr>
        <w:t>4</w:t>
      </w:r>
      <w:r w:rsidR="00C26A15">
        <w:rPr>
          <w:sz w:val="20"/>
          <w:szCs w:val="20"/>
        </w:rPr>
        <w:t xml:space="preserve"> below provide a zoomed in view of the three main prospect areas/</w:t>
      </w:r>
      <w:proofErr w:type="spellStart"/>
      <w:r w:rsidR="00C26A15">
        <w:rPr>
          <w:sz w:val="20"/>
          <w:szCs w:val="20"/>
        </w:rPr>
        <w:t>MobileMT</w:t>
      </w:r>
      <w:proofErr w:type="spellEnd"/>
      <w:r w:rsidR="00C26A15">
        <w:rPr>
          <w:sz w:val="20"/>
          <w:szCs w:val="20"/>
        </w:rPr>
        <w:t xml:space="preserve"> results - Thomas Creek, Timbertop and Mt </w:t>
      </w:r>
      <w:proofErr w:type="spellStart"/>
      <w:r w:rsidR="00C26A15">
        <w:rPr>
          <w:sz w:val="20"/>
          <w:szCs w:val="20"/>
        </w:rPr>
        <w:t>Lowren</w:t>
      </w:r>
      <w:proofErr w:type="spellEnd"/>
      <w:r w:rsidR="00C26A15">
        <w:rPr>
          <w:sz w:val="20"/>
          <w:szCs w:val="20"/>
        </w:rPr>
        <w:t xml:space="preserve"> respectively: </w:t>
      </w:r>
    </w:p>
    <w:p w:rsidR="00F4488E" w:rsidRDefault="00F4488E" w:rsidP="00811E5B">
      <w:pPr>
        <w:jc w:val="both"/>
        <w:rPr>
          <w:sz w:val="20"/>
          <w:szCs w:val="20"/>
        </w:rPr>
      </w:pPr>
    </w:p>
    <w:p w:rsidR="00F4488E" w:rsidRDefault="00F4488E" w:rsidP="00811E5B">
      <w:pPr>
        <w:jc w:val="both"/>
        <w:rPr>
          <w:sz w:val="20"/>
          <w:szCs w:val="20"/>
        </w:rPr>
      </w:pPr>
    </w:p>
    <w:p w:rsidR="00F4488E" w:rsidRDefault="00F4488E" w:rsidP="00811E5B">
      <w:pPr>
        <w:jc w:val="both"/>
        <w:rPr>
          <w:sz w:val="20"/>
          <w:szCs w:val="20"/>
        </w:rPr>
      </w:pPr>
    </w:p>
    <w:p w:rsidR="00F4488E" w:rsidRDefault="00F4488E" w:rsidP="00811E5B">
      <w:pPr>
        <w:jc w:val="both"/>
        <w:rPr>
          <w:sz w:val="20"/>
          <w:szCs w:val="20"/>
        </w:rPr>
        <w:sectPr w:rsidR="00F4488E">
          <w:pgSz w:w="11906" w:h="16838"/>
          <w:pgMar w:top="1440" w:right="1440" w:bottom="1440" w:left="1440" w:header="708" w:footer="708" w:gutter="0"/>
          <w:cols w:space="708"/>
          <w:docGrid w:linePitch="360"/>
        </w:sectPr>
      </w:pPr>
    </w:p>
    <w:p w:rsidR="00F4488E" w:rsidRDefault="00F4488E" w:rsidP="00811E5B">
      <w:pPr>
        <w:jc w:val="both"/>
        <w:rPr>
          <w:sz w:val="20"/>
          <w:szCs w:val="20"/>
        </w:rPr>
      </w:pPr>
      <w:r>
        <w:rPr>
          <w:noProof/>
          <w:sz w:val="20"/>
          <w:szCs w:val="20"/>
          <w:lang w:eastAsia="en-AU"/>
        </w:rPr>
        <w:lastRenderedPageBreak/>
        <w:drawing>
          <wp:inline distT="0" distB="0" distL="0" distR="0">
            <wp:extent cx="8636397" cy="5191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36397" cy="5191125"/>
                    </a:xfrm>
                    <a:prstGeom prst="rect">
                      <a:avLst/>
                    </a:prstGeom>
                    <a:noFill/>
                    <a:ln>
                      <a:noFill/>
                    </a:ln>
                  </pic:spPr>
                </pic:pic>
              </a:graphicData>
            </a:graphic>
          </wp:inline>
        </w:drawing>
      </w:r>
    </w:p>
    <w:p w:rsidR="00C26A15" w:rsidRDefault="00C26A15" w:rsidP="00811E5B">
      <w:pPr>
        <w:jc w:val="both"/>
        <w:rPr>
          <w:sz w:val="20"/>
          <w:szCs w:val="20"/>
        </w:rPr>
      </w:pPr>
      <w:r w:rsidRPr="00C26A15">
        <w:rPr>
          <w:b/>
          <w:color w:val="0000FF"/>
          <w:sz w:val="20"/>
          <w:szCs w:val="20"/>
        </w:rPr>
        <w:t>Figure 1</w:t>
      </w:r>
      <w:r>
        <w:rPr>
          <w:sz w:val="20"/>
          <w:szCs w:val="20"/>
        </w:rPr>
        <w:t xml:space="preserve"> – </w:t>
      </w:r>
      <w:proofErr w:type="spellStart"/>
      <w:r>
        <w:rPr>
          <w:sz w:val="20"/>
          <w:szCs w:val="20"/>
        </w:rPr>
        <w:t>MobileMT</w:t>
      </w:r>
      <w:proofErr w:type="spellEnd"/>
      <w:r>
        <w:rPr>
          <w:sz w:val="20"/>
          <w:szCs w:val="20"/>
        </w:rPr>
        <w:t xml:space="preserve"> 3D Inversion Conductivity </w:t>
      </w:r>
      <w:proofErr w:type="spellStart"/>
      <w:r>
        <w:rPr>
          <w:sz w:val="20"/>
          <w:szCs w:val="20"/>
        </w:rPr>
        <w:t>Isosurfaces</w:t>
      </w:r>
      <w:proofErr w:type="spellEnd"/>
      <w:r>
        <w:rPr>
          <w:sz w:val="20"/>
          <w:szCs w:val="20"/>
        </w:rPr>
        <w:t xml:space="preserve"> (Conductive to Resistive - red to dark blue), primary targets yellow bold outline </w:t>
      </w:r>
      <w:proofErr w:type="gramStart"/>
      <w:r>
        <w:rPr>
          <w:sz w:val="20"/>
          <w:szCs w:val="20"/>
        </w:rPr>
        <w:t xml:space="preserve">over various relevant imagery (224Hz </w:t>
      </w:r>
      <w:proofErr w:type="spellStart"/>
      <w:r>
        <w:rPr>
          <w:sz w:val="20"/>
          <w:szCs w:val="20"/>
        </w:rPr>
        <w:t>AppCond</w:t>
      </w:r>
      <w:proofErr w:type="spellEnd"/>
      <w:r>
        <w:rPr>
          <w:sz w:val="20"/>
          <w:szCs w:val="20"/>
        </w:rPr>
        <w:t>, DEM and RTP Magnetics)</w:t>
      </w:r>
      <w:proofErr w:type="gramEnd"/>
    </w:p>
    <w:p w:rsidR="00C26A15" w:rsidRDefault="00C26A15" w:rsidP="00811E5B">
      <w:pPr>
        <w:jc w:val="both"/>
        <w:rPr>
          <w:sz w:val="20"/>
          <w:szCs w:val="20"/>
        </w:rPr>
      </w:pPr>
      <w:r>
        <w:rPr>
          <w:noProof/>
          <w:sz w:val="20"/>
          <w:szCs w:val="20"/>
          <w:lang w:eastAsia="en-AU"/>
        </w:rPr>
        <w:lastRenderedPageBreak/>
        <w:drawing>
          <wp:inline distT="0" distB="0" distL="0" distR="0">
            <wp:extent cx="8610600" cy="5166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610600" cy="5166360"/>
                    </a:xfrm>
                    <a:prstGeom prst="rect">
                      <a:avLst/>
                    </a:prstGeom>
                    <a:noFill/>
                    <a:ln>
                      <a:noFill/>
                    </a:ln>
                  </pic:spPr>
                </pic:pic>
              </a:graphicData>
            </a:graphic>
          </wp:inline>
        </w:drawing>
      </w:r>
    </w:p>
    <w:p w:rsidR="00C26A15" w:rsidRDefault="00C26A15" w:rsidP="00C26A15">
      <w:pPr>
        <w:jc w:val="both"/>
        <w:rPr>
          <w:sz w:val="20"/>
          <w:szCs w:val="20"/>
        </w:rPr>
      </w:pPr>
      <w:r w:rsidRPr="00C26A15">
        <w:rPr>
          <w:b/>
          <w:color w:val="0000FF"/>
          <w:sz w:val="20"/>
          <w:szCs w:val="20"/>
        </w:rPr>
        <w:t xml:space="preserve">Figure </w:t>
      </w:r>
      <w:r>
        <w:rPr>
          <w:b/>
          <w:color w:val="0000FF"/>
          <w:sz w:val="20"/>
          <w:szCs w:val="20"/>
        </w:rPr>
        <w:t>2</w:t>
      </w:r>
      <w:r>
        <w:rPr>
          <w:sz w:val="20"/>
          <w:szCs w:val="20"/>
        </w:rPr>
        <w:t xml:space="preserve"> – </w:t>
      </w:r>
      <w:proofErr w:type="spellStart"/>
      <w:r>
        <w:rPr>
          <w:sz w:val="20"/>
          <w:szCs w:val="20"/>
        </w:rPr>
        <w:t>MobileMT</w:t>
      </w:r>
      <w:proofErr w:type="spellEnd"/>
      <w:r>
        <w:rPr>
          <w:sz w:val="20"/>
          <w:szCs w:val="20"/>
        </w:rPr>
        <w:t xml:space="preserve"> 3D </w:t>
      </w:r>
      <w:proofErr w:type="spellStart"/>
      <w:r>
        <w:rPr>
          <w:sz w:val="20"/>
          <w:szCs w:val="20"/>
        </w:rPr>
        <w:t>3D</w:t>
      </w:r>
      <w:proofErr w:type="spellEnd"/>
      <w:r>
        <w:rPr>
          <w:sz w:val="20"/>
          <w:szCs w:val="20"/>
        </w:rPr>
        <w:t xml:space="preserve"> Inversion Conductivity </w:t>
      </w:r>
      <w:proofErr w:type="spellStart"/>
      <w:r>
        <w:rPr>
          <w:sz w:val="20"/>
          <w:szCs w:val="20"/>
        </w:rPr>
        <w:t>Isosurfaces</w:t>
      </w:r>
      <w:proofErr w:type="spellEnd"/>
      <w:r>
        <w:rPr>
          <w:sz w:val="20"/>
          <w:szCs w:val="20"/>
        </w:rPr>
        <w:t xml:space="preserve"> (Conductive to Resistive - red to dark blue), primary targets yellow bold outline over various relevant imagery (224Hz </w:t>
      </w:r>
      <w:proofErr w:type="spellStart"/>
      <w:r>
        <w:rPr>
          <w:sz w:val="20"/>
          <w:szCs w:val="20"/>
        </w:rPr>
        <w:t>AppCond</w:t>
      </w:r>
      <w:proofErr w:type="spellEnd"/>
      <w:r>
        <w:rPr>
          <w:sz w:val="20"/>
          <w:szCs w:val="20"/>
        </w:rPr>
        <w:t>, DEM and RTP Magnetics</w:t>
      </w:r>
      <w:r w:rsidR="004573B6">
        <w:rPr>
          <w:sz w:val="20"/>
          <w:szCs w:val="20"/>
        </w:rPr>
        <w:t xml:space="preserve"> – left to right</w:t>
      </w:r>
      <w:r>
        <w:rPr>
          <w:sz w:val="20"/>
          <w:szCs w:val="20"/>
        </w:rPr>
        <w:t>)</w:t>
      </w:r>
      <w:r w:rsidR="004573B6">
        <w:rPr>
          <w:sz w:val="20"/>
          <w:szCs w:val="20"/>
        </w:rPr>
        <w:t xml:space="preserve"> – Thomas Creek</w:t>
      </w:r>
    </w:p>
    <w:p w:rsidR="004573B6" w:rsidRDefault="004573B6" w:rsidP="00C26A15">
      <w:pPr>
        <w:jc w:val="both"/>
        <w:rPr>
          <w:sz w:val="20"/>
          <w:szCs w:val="20"/>
        </w:rPr>
      </w:pPr>
      <w:r>
        <w:rPr>
          <w:noProof/>
          <w:sz w:val="20"/>
          <w:szCs w:val="20"/>
          <w:lang w:eastAsia="en-AU"/>
        </w:rPr>
        <w:lastRenderedPageBreak/>
        <w:drawing>
          <wp:inline distT="0" distB="0" distL="0" distR="0">
            <wp:extent cx="8686800" cy="521769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686800" cy="5217690"/>
                    </a:xfrm>
                    <a:prstGeom prst="rect">
                      <a:avLst/>
                    </a:prstGeom>
                    <a:noFill/>
                    <a:ln>
                      <a:noFill/>
                    </a:ln>
                  </pic:spPr>
                </pic:pic>
              </a:graphicData>
            </a:graphic>
          </wp:inline>
        </w:drawing>
      </w:r>
    </w:p>
    <w:p w:rsidR="00C26A15" w:rsidRDefault="004573B6" w:rsidP="00811E5B">
      <w:pPr>
        <w:jc w:val="both"/>
        <w:rPr>
          <w:sz w:val="20"/>
          <w:szCs w:val="20"/>
        </w:rPr>
      </w:pPr>
      <w:r w:rsidRPr="00C26A15">
        <w:rPr>
          <w:b/>
          <w:color w:val="0000FF"/>
          <w:sz w:val="20"/>
          <w:szCs w:val="20"/>
        </w:rPr>
        <w:t xml:space="preserve">Figure </w:t>
      </w:r>
      <w:r>
        <w:rPr>
          <w:b/>
          <w:color w:val="0000FF"/>
          <w:sz w:val="20"/>
          <w:szCs w:val="20"/>
        </w:rPr>
        <w:t>3</w:t>
      </w:r>
      <w:r>
        <w:rPr>
          <w:sz w:val="20"/>
          <w:szCs w:val="20"/>
        </w:rPr>
        <w:t xml:space="preserve"> – </w:t>
      </w:r>
      <w:proofErr w:type="spellStart"/>
      <w:r>
        <w:rPr>
          <w:sz w:val="20"/>
          <w:szCs w:val="20"/>
        </w:rPr>
        <w:t>MobileMT</w:t>
      </w:r>
      <w:proofErr w:type="spellEnd"/>
      <w:r>
        <w:rPr>
          <w:sz w:val="20"/>
          <w:szCs w:val="20"/>
        </w:rPr>
        <w:t xml:space="preserve"> 3D </w:t>
      </w:r>
      <w:proofErr w:type="spellStart"/>
      <w:r>
        <w:rPr>
          <w:sz w:val="20"/>
          <w:szCs w:val="20"/>
        </w:rPr>
        <w:t>3D</w:t>
      </w:r>
      <w:proofErr w:type="spellEnd"/>
      <w:r>
        <w:rPr>
          <w:sz w:val="20"/>
          <w:szCs w:val="20"/>
        </w:rPr>
        <w:t xml:space="preserve"> Inversion Conductivity </w:t>
      </w:r>
      <w:proofErr w:type="spellStart"/>
      <w:r>
        <w:rPr>
          <w:sz w:val="20"/>
          <w:szCs w:val="20"/>
        </w:rPr>
        <w:t>Isosurfaces</w:t>
      </w:r>
      <w:proofErr w:type="spellEnd"/>
      <w:r>
        <w:rPr>
          <w:sz w:val="20"/>
          <w:szCs w:val="20"/>
        </w:rPr>
        <w:t xml:space="preserve"> (Conductive red high to low light blue), primary targets yellow bold outline over various relevant imagery (224Hz </w:t>
      </w:r>
      <w:proofErr w:type="spellStart"/>
      <w:r>
        <w:rPr>
          <w:sz w:val="20"/>
          <w:szCs w:val="20"/>
        </w:rPr>
        <w:t>AppCond</w:t>
      </w:r>
      <w:proofErr w:type="spellEnd"/>
      <w:r>
        <w:rPr>
          <w:sz w:val="20"/>
          <w:szCs w:val="20"/>
        </w:rPr>
        <w:t>, DEM and RTP Magnetics – left to right) – Timbertop</w:t>
      </w:r>
    </w:p>
    <w:p w:rsidR="004573B6" w:rsidRDefault="004573B6" w:rsidP="00811E5B">
      <w:pPr>
        <w:jc w:val="both"/>
        <w:rPr>
          <w:sz w:val="20"/>
          <w:szCs w:val="20"/>
        </w:rPr>
      </w:pPr>
      <w:r>
        <w:rPr>
          <w:noProof/>
          <w:sz w:val="20"/>
          <w:szCs w:val="20"/>
          <w:lang w:eastAsia="en-AU"/>
        </w:rPr>
        <w:lastRenderedPageBreak/>
        <w:drawing>
          <wp:inline distT="0" distB="0" distL="0" distR="0">
            <wp:extent cx="8610600" cy="520339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612839" cy="5204747"/>
                    </a:xfrm>
                    <a:prstGeom prst="rect">
                      <a:avLst/>
                    </a:prstGeom>
                    <a:noFill/>
                    <a:ln>
                      <a:noFill/>
                    </a:ln>
                  </pic:spPr>
                </pic:pic>
              </a:graphicData>
            </a:graphic>
          </wp:inline>
        </w:drawing>
      </w:r>
    </w:p>
    <w:p w:rsidR="004573B6" w:rsidRPr="00811E5B" w:rsidRDefault="004573B6" w:rsidP="00811E5B">
      <w:pPr>
        <w:jc w:val="both"/>
        <w:rPr>
          <w:sz w:val="20"/>
          <w:szCs w:val="20"/>
        </w:rPr>
      </w:pPr>
      <w:r w:rsidRPr="00C26A15">
        <w:rPr>
          <w:b/>
          <w:color w:val="0000FF"/>
          <w:sz w:val="20"/>
          <w:szCs w:val="20"/>
        </w:rPr>
        <w:t xml:space="preserve">Figure </w:t>
      </w:r>
      <w:r>
        <w:rPr>
          <w:b/>
          <w:color w:val="0000FF"/>
          <w:sz w:val="20"/>
          <w:szCs w:val="20"/>
        </w:rPr>
        <w:t>4</w:t>
      </w:r>
      <w:r>
        <w:rPr>
          <w:sz w:val="20"/>
          <w:szCs w:val="20"/>
        </w:rPr>
        <w:t xml:space="preserve"> – </w:t>
      </w:r>
      <w:proofErr w:type="spellStart"/>
      <w:r>
        <w:rPr>
          <w:sz w:val="20"/>
          <w:szCs w:val="20"/>
        </w:rPr>
        <w:t>MobileMT</w:t>
      </w:r>
      <w:proofErr w:type="spellEnd"/>
      <w:r>
        <w:rPr>
          <w:sz w:val="20"/>
          <w:szCs w:val="20"/>
        </w:rPr>
        <w:t xml:space="preserve"> 3D </w:t>
      </w:r>
      <w:proofErr w:type="spellStart"/>
      <w:r>
        <w:rPr>
          <w:sz w:val="20"/>
          <w:szCs w:val="20"/>
        </w:rPr>
        <w:t>3D</w:t>
      </w:r>
      <w:proofErr w:type="spellEnd"/>
      <w:r>
        <w:rPr>
          <w:sz w:val="20"/>
          <w:szCs w:val="20"/>
        </w:rPr>
        <w:t xml:space="preserve"> Inversion Conductivity </w:t>
      </w:r>
      <w:proofErr w:type="spellStart"/>
      <w:r>
        <w:rPr>
          <w:sz w:val="20"/>
          <w:szCs w:val="20"/>
        </w:rPr>
        <w:t>Isosurfaces</w:t>
      </w:r>
      <w:proofErr w:type="spellEnd"/>
      <w:r>
        <w:rPr>
          <w:sz w:val="20"/>
          <w:szCs w:val="20"/>
        </w:rPr>
        <w:t xml:space="preserve"> (Conductive red high to lower orange), primary targets yellow bold outline over various relevant imagery (224Hz </w:t>
      </w:r>
      <w:proofErr w:type="spellStart"/>
      <w:r>
        <w:rPr>
          <w:sz w:val="20"/>
          <w:szCs w:val="20"/>
        </w:rPr>
        <w:t>AppCond</w:t>
      </w:r>
      <w:proofErr w:type="spellEnd"/>
      <w:r>
        <w:rPr>
          <w:sz w:val="20"/>
          <w:szCs w:val="20"/>
        </w:rPr>
        <w:t xml:space="preserve">, DEM and RTP Magnetics – left to right) – Mt </w:t>
      </w:r>
      <w:proofErr w:type="spellStart"/>
      <w:r>
        <w:rPr>
          <w:sz w:val="20"/>
          <w:szCs w:val="20"/>
        </w:rPr>
        <w:t>Lowren</w:t>
      </w:r>
      <w:proofErr w:type="spellEnd"/>
    </w:p>
    <w:sectPr w:rsidR="004573B6" w:rsidRPr="00811E5B" w:rsidSect="00F4488E">
      <w:pgSz w:w="16838" w:h="11906" w:orient="landscape"/>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F1F4981"/>
    <w:multiLevelType w:val="hybridMultilevel"/>
    <w:tmpl w:val="51EC4BD6"/>
    <w:lvl w:ilvl="0" w:tplc="57FE357C">
      <w:start w:val="3"/>
      <w:numFmt w:val="bullet"/>
      <w:lvlText w:val="-"/>
      <w:lvlJc w:val="left"/>
      <w:pPr>
        <w:ind w:left="720" w:hanging="360"/>
      </w:pPr>
      <w:rPr>
        <w:rFonts w:ascii="Calibri" w:eastAsiaTheme="minorHAnsi"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1E5B"/>
    <w:rsid w:val="002A28D4"/>
    <w:rsid w:val="003E7029"/>
    <w:rsid w:val="00417315"/>
    <w:rsid w:val="004573B6"/>
    <w:rsid w:val="004C5455"/>
    <w:rsid w:val="00600321"/>
    <w:rsid w:val="0081143D"/>
    <w:rsid w:val="00811E5B"/>
    <w:rsid w:val="00BD70DE"/>
    <w:rsid w:val="00C26A15"/>
    <w:rsid w:val="00DF1EAA"/>
    <w:rsid w:val="00F4488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11E5B"/>
    <w:pPr>
      <w:ind w:left="720"/>
      <w:contextualSpacing/>
    </w:pPr>
  </w:style>
  <w:style w:type="paragraph" w:styleId="BalloonText">
    <w:name w:val="Balloon Text"/>
    <w:basedOn w:val="Normal"/>
    <w:link w:val="BalloonTextChar"/>
    <w:uiPriority w:val="99"/>
    <w:semiHidden/>
    <w:unhideWhenUsed/>
    <w:rsid w:val="00F448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488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11E5B"/>
    <w:pPr>
      <w:ind w:left="720"/>
      <w:contextualSpacing/>
    </w:pPr>
  </w:style>
  <w:style w:type="paragraph" w:styleId="BalloonText">
    <w:name w:val="Balloon Text"/>
    <w:basedOn w:val="Normal"/>
    <w:link w:val="BalloonTextChar"/>
    <w:uiPriority w:val="99"/>
    <w:semiHidden/>
    <w:unhideWhenUsed/>
    <w:rsid w:val="00F448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488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2335</TotalTime>
  <Pages>5</Pages>
  <Words>687</Words>
  <Characters>4139</Characters>
  <Application>Microsoft Office Word</Application>
  <DocSecurity>0</DocSecurity>
  <Lines>68</Lines>
  <Paragraphs>34</Paragraphs>
  <ScaleCrop>false</ScaleCrop>
  <HeadingPairs>
    <vt:vector size="2" baseType="variant">
      <vt:variant>
        <vt:lpstr>Title</vt:lpstr>
      </vt:variant>
      <vt:variant>
        <vt:i4>1</vt:i4>
      </vt:variant>
    </vt:vector>
  </HeadingPairs>
  <TitlesOfParts>
    <vt:vector size="1" baseType="lpstr">
      <vt:lpstr/>
    </vt:vector>
  </TitlesOfParts>
  <Company>SGC</Company>
  <LinksUpToDate>false</LinksUpToDate>
  <CharactersWithSpaces>4792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Russell Mortimer</dc:creator>
  <cp:lastModifiedBy>Russell Mortimer</cp:lastModifiedBy>
  <cp:revision>4</cp:revision>
  <dcterms:created xsi:type="dcterms:W3CDTF">2019-03-30T13:07:00Z</dcterms:created>
  <dcterms:modified xsi:type="dcterms:W3CDTF">2019-04-01T04:05:00Z</dcterms:modified>
</cp:coreProperties>
</file>